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297 vom 15. Februar 2012</w:t>
      </w:r>
    </w:p>
    <w:p>
      <w:r>
        <w:t>BL Gerichte, 2012-02-15, DE</w:t>
      </w:r>
    </w:p>
    <w:p>
      <w:r>
        <w:rPr>
          <w:b/>
        </w:rPr>
        <w:t xml:space="preserve">Quelle: </w:t>
      </w:r>
      <w:r>
        <w:t>https://mcp.opencaselaw.ch/entscheid/bl_gerichte_810 2011 297</w:t>
      </w:r>
    </w:p>
    <w:p>
      <w:r>
        <w:t>FR: BL_GERICHTE 810 2011 297 du 15 février 2012</w:t>
      </w:r>
    </w:p>
    <w:p>
      <w:r>
        <w:t>IT: BL_GERICHTE 810 2011 297 del 15 febbraio 2012</w:t>
      </w:r>
    </w:p>
    <w:p>
      <w:pPr>
        <w:pStyle w:val="Heading2"/>
      </w:pPr>
      <w:r>
        <w:t>Regeste</w:t>
      </w:r>
    </w:p>
    <w:p>
      <w:r>
        <w:t>Baugesuch für Dachgarten auf Mehrfamilienhaus, Parz. 6543</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Angelegenheit ist somit gegeben. Der Beschwerdeführer ist durch den angefochtenen Entscheid in schutzwürdigen Interessen betroffen und demnach zur Beschwerde legitimiert. Die weiteren formellen Voraussetzungen sind ebenfalls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Gemäss Art. 33 Abs. 3 lit. b des Bundesgesetzes über die Raumplanung (RPG) vom 22. Juni 1979 ist in Fällen wie dem vorliegenden die volle Überprüfung einschliesslich der Kontrolle der Angemessenheit durch wenigstens eine Beschwerdebehörde verlangt. Die Beurteilung durch die Baurekurskommission genügt diesen Anforderungen. 3.1 Der Entscheid der BRK vom 3. Mai 2011 ist schwer verständlich, da aus dem Dispositiv nicht hervorgeht, was im Einzelnen als Rückbaumassnahme vorgekehrt werden muss (vgl. hierzu Urteil des Kantonsgerichts, Abteilung Verfassungs- und Verwaltungsrecht [KGE VV] vom 11. März 2009 [ 810 08 207] E. 5.2 ). Sinngemäss ergibt sich, dass der Beschwerdeführer dazu verpflichtet wurde, die auf das Dach führende Treppe und die bisher ausgeführten Dachgartenbauten zurückzubauen sowie das Dach extensiv zu begrünen. Demgegenüber wurde die Beschwerde des Beschwerdeführers betreffend die Verpflichtung zur Schliessung des Dacheinschnittes durch die BRK gutgeheissen. Umstritten ist folglich nur noch, ob die Abweisung des Baugesuchs des Beschwerdeführers vom 5. Mai 2010 und dessen Verpflichtung zum Rückbau der auf das Dach führenden Treppe und der bisher ausgeführten Dachgartenbauten sowie zur extensiven Begrünung des Daches durch das Bauinspektorat zu Recht erfolgte. 3.2 Der Beschwerdeführer rügt im Wesentlichen, die Verpflichtung zum Rückbau der auf das Dach führenden Treppe und der bisher ausgeführten Dachgartenbauten sowie zur extensiven Begrünung des Daches verletze die Eigentumsgarantie, die Rechtsweggarantie, den Grundsatz der Verhältnismässigkeit sowie den Grundsatz von Treu und Glauben. Er macht hierzu insbesondere geltend, die Baubewilligung vom 8. Januar 2008 und deren Bedingungen seien für ihn nicht verbindlich und er somit an diese nicht gebunden. Vorliegend gehe es folglich nicht um die Baubewilligung vom 8. Januar 2008 und deren Bedingungen bzw. Auflagen, sondern allein um das Baugesuch vom 5. Mai 2010 und dieses sei anhand der geltenden Gesetze und Vorschriften auch neu zu entscheiden. Dabei sei zu beachten, dass es keine Vorschrift gebe, weder im kantonalen noch im kommunalen Recht, welche die Erstellung eines Dachgartens auf einem Flachdach verbieten würde.</w:t>
      </w:r>
    </w:p>
    <w:p>
      <w:r>
        <w:rPr>
          <w:b/>
        </w:rPr>
        <w:t>E. 4</w:t>
      </w:r>
    </w:p>
    <w:p>
      <w:r>
        <w:t>Die Parteikosten werden wettgeschlagen. Präsidentin Gerichtsschreiber Gegen diesen Entscheid hat der Beschwerdeführer am 22. Mai 2012 beim Bundesgericht Beschwerde erhoben (Verfahrensnummer: 1C_277/2012).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